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48F4" w14:textId="77777777" w:rsidR="009266EB" w:rsidRPr="009266EB" w:rsidRDefault="009266EB" w:rsidP="009266EB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F6305"/>
          <w:spacing w:val="10"/>
          <w:sz w:val="20"/>
          <w:szCs w:val="20"/>
          <w:lang w:val="es-ES_tradnl"/>
        </w:rPr>
      </w:pPr>
      <w:r w:rsidRPr="009266EB">
        <w:rPr>
          <w:rFonts w:ascii="New Era Casual" w:hAnsi="New Era Casual" w:cs="New Era Casual"/>
          <w:caps/>
          <w:color w:val="FF6305"/>
          <w:spacing w:val="10"/>
          <w:sz w:val="20"/>
          <w:szCs w:val="20"/>
          <w:lang w:val="es-ES_tradnl"/>
        </w:rPr>
        <w:t>Salidas desde Costa del Sol</w:t>
      </w:r>
    </w:p>
    <w:p w14:paraId="1EB97ACE" w14:textId="77777777" w:rsidR="00BF7535" w:rsidRPr="00BF7535" w:rsidRDefault="00BF7535" w:rsidP="00BF7535">
      <w:pPr>
        <w:pStyle w:val="Ningnestilodeprrafo"/>
        <w:tabs>
          <w:tab w:val="left" w:pos="492"/>
        </w:tabs>
        <w:suppressAutoHyphens/>
        <w:rPr>
          <w:rFonts w:ascii="New Era Casual" w:hAnsi="New Era Casual" w:cs="New Era Casual"/>
          <w:color w:val="E00019"/>
          <w:position w:val="1"/>
          <w:sz w:val="35"/>
          <w:szCs w:val="35"/>
        </w:rPr>
      </w:pPr>
      <w:r w:rsidRPr="00BF7535">
        <w:rPr>
          <w:rFonts w:ascii="New Era Casual" w:hAnsi="New Era Casual" w:cs="New Era Casual"/>
          <w:caps/>
          <w:color w:val="00812F"/>
          <w:sz w:val="56"/>
          <w:szCs w:val="56"/>
        </w:rPr>
        <w:t>COSTA DEL SOL, ANDALUCÍA Y MADRID</w:t>
      </w:r>
      <w:r>
        <w:rPr>
          <w:rFonts w:ascii="New Era Casual" w:hAnsi="New Era Casual" w:cs="New Era Casual"/>
          <w:caps/>
          <w:color w:val="00812F"/>
          <w:sz w:val="56"/>
          <w:szCs w:val="56"/>
        </w:rPr>
        <w:t xml:space="preserve"> </w:t>
      </w:r>
      <w:r w:rsidRPr="00BF7535">
        <w:rPr>
          <w:rFonts w:ascii="New Era Casual" w:hAnsi="New Era Casual" w:cs="New Era Casual"/>
          <w:color w:val="E00019"/>
          <w:position w:val="1"/>
          <w:sz w:val="35"/>
          <w:szCs w:val="35"/>
        </w:rPr>
        <w:t>NUEVO</w:t>
      </w:r>
    </w:p>
    <w:p w14:paraId="4CA8F339" w14:textId="77777777" w:rsidR="00BF7535" w:rsidRPr="00BF7535" w:rsidRDefault="00BF7535" w:rsidP="00BF7535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BF7535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C-3722</w:t>
      </w:r>
    </w:p>
    <w:p w14:paraId="0887A901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576B2FED" w14:textId="77777777" w:rsidR="00D000AA" w:rsidRPr="00D000AA" w:rsidRDefault="008C2DC0" w:rsidP="00BF7535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BF7535" w:rsidRPr="00BF7535">
        <w:t>Costa del Sol 2. Granada 1. Madrid 2. Sevilla 2. Córdoba 1.</w:t>
      </w:r>
    </w:p>
    <w:p w14:paraId="461A8983" w14:textId="77777777" w:rsidR="008C2DC0" w:rsidRDefault="00BF7535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9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031A4E72" w14:textId="3C160205" w:rsidR="00D000AA" w:rsidRPr="00BF7535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BF7535" w:rsidRPr="00BF7535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1.</w:t>
      </w:r>
      <w:r w:rsidR="00AE77FF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3</w:t>
      </w:r>
      <w:r w:rsidR="00BF7535" w:rsidRPr="00BF7535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55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23401573" w14:textId="77777777" w:rsidR="00BF7535" w:rsidRPr="00BF7535" w:rsidRDefault="00BF7535" w:rsidP="00BF753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F7535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(Martes) COSTA DEL SOL</w:t>
      </w:r>
    </w:p>
    <w:p w14:paraId="6C83B2CC" w14:textId="77777777" w:rsidR="00BF7535" w:rsidRPr="00BF7535" w:rsidRDefault="00BF7535" w:rsidP="00BF75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F7535">
        <w:rPr>
          <w:rFonts w:ascii="Avenir Next" w:hAnsi="Avenir Next" w:cs="Avenir Next"/>
          <w:color w:val="000000"/>
          <w:spacing w:val="-2"/>
          <w:w w:val="90"/>
          <w:sz w:val="17"/>
          <w:szCs w:val="17"/>
          <w:lang w:val="es-ES_tradnl"/>
        </w:rPr>
        <w:t xml:space="preserve">Llegada al aeropuerto de Málaga. Recepción y traslado al hotel. </w:t>
      </w:r>
      <w:r w:rsidRPr="00BF7535">
        <w:rPr>
          <w:rFonts w:ascii="Avenir Next Demi Bold" w:hAnsi="Avenir Next Demi Bold" w:cs="Avenir Next Demi Bold"/>
          <w:b/>
          <w:bCs/>
          <w:color w:val="000000"/>
          <w:spacing w:val="-2"/>
          <w:w w:val="90"/>
          <w:sz w:val="17"/>
          <w:szCs w:val="17"/>
          <w:lang w:val="es-ES_tradnl"/>
        </w:rPr>
        <w:t>Cena y alojamiento.</w:t>
      </w:r>
      <w:r w:rsidRPr="00BF7535">
        <w:rPr>
          <w:rFonts w:ascii="Avenir Next" w:hAnsi="Avenir Next" w:cs="Avenir Next"/>
          <w:color w:val="000000"/>
          <w:spacing w:val="-2"/>
          <w:w w:val="90"/>
          <w:sz w:val="17"/>
          <w:szCs w:val="17"/>
          <w:lang w:val="es-ES_tradnl"/>
        </w:rPr>
        <w:t xml:space="preserve"> Resto del tiempo libre.</w:t>
      </w:r>
    </w:p>
    <w:p w14:paraId="136F1AAC" w14:textId="77777777" w:rsidR="00BF7535" w:rsidRPr="00BF7535" w:rsidRDefault="00BF7535" w:rsidP="00BF75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85EF4F4" w14:textId="77777777" w:rsidR="00BF7535" w:rsidRPr="00BF7535" w:rsidRDefault="00BF7535" w:rsidP="00BF753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F7535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2º (Miércoles) COSTA DEL SOL-GRANADA* (190 kms)</w:t>
      </w:r>
    </w:p>
    <w:p w14:paraId="5DE7FE85" w14:textId="77777777" w:rsidR="00BF7535" w:rsidRPr="00BF7535" w:rsidRDefault="00BF7535" w:rsidP="00BF75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spacing w:val="-3"/>
          <w:w w:val="90"/>
          <w:sz w:val="17"/>
          <w:szCs w:val="17"/>
          <w:lang w:val="es-ES_tradnl"/>
        </w:rPr>
      </w:pPr>
      <w:r w:rsidRPr="00BF7535">
        <w:rPr>
          <w:rFonts w:ascii="Avenir Next Demi Bold" w:hAnsi="Avenir Next Demi Bold" w:cs="Avenir Next Demi Bold"/>
          <w:b/>
          <w:bCs/>
          <w:color w:val="000000"/>
          <w:spacing w:val="-3"/>
          <w:w w:val="90"/>
          <w:sz w:val="17"/>
          <w:szCs w:val="17"/>
          <w:lang w:val="es-ES_tradnl"/>
        </w:rPr>
        <w:t>Desayuno.</w:t>
      </w:r>
      <w:r w:rsidRPr="00BF7535">
        <w:rPr>
          <w:rFonts w:ascii="Avenir Next" w:hAnsi="Avenir Next" w:cs="Avenir Next"/>
          <w:color w:val="000000"/>
          <w:spacing w:val="-3"/>
          <w:w w:val="90"/>
          <w:sz w:val="17"/>
          <w:szCs w:val="17"/>
          <w:lang w:val="es-ES_tradnl"/>
        </w:rPr>
        <w:t xml:space="preserve"> Salida de la Costa del Sol por la mañana (horario a confirmar) bordeando la Costa hacia Granada. Llegada y visita del espectacular conjunto monumental de La Alhambra y el Generalife, antigua residencia de los reyes moros, con sus magníficos jardines, fuentes y arcadas, Patrimonio de la Humanidad. </w:t>
      </w:r>
      <w:r w:rsidRPr="00BF7535">
        <w:rPr>
          <w:rFonts w:ascii="Avenir Next Demi Bold" w:hAnsi="Avenir Next Demi Bold" w:cs="Avenir Next Demi Bold"/>
          <w:b/>
          <w:bCs/>
          <w:color w:val="000000"/>
          <w:spacing w:val="-3"/>
          <w:w w:val="90"/>
          <w:sz w:val="17"/>
          <w:szCs w:val="17"/>
          <w:lang w:val="es-ES_tradnl"/>
        </w:rPr>
        <w:t>Cena y alojamiento.</w:t>
      </w:r>
      <w:r w:rsidRPr="00BF7535">
        <w:rPr>
          <w:rFonts w:ascii="Avenir Next" w:hAnsi="Avenir Next" w:cs="Avenir Next"/>
          <w:color w:val="000000"/>
          <w:spacing w:val="-3"/>
          <w:w w:val="90"/>
          <w:sz w:val="17"/>
          <w:szCs w:val="17"/>
          <w:lang w:val="es-ES_tradnl"/>
        </w:rPr>
        <w:t xml:space="preserve"> Por la noche visita opcional a las cuevas del Sacromonte con espectáculo de zambra flamenca.</w:t>
      </w:r>
    </w:p>
    <w:p w14:paraId="281C11E7" w14:textId="77777777" w:rsidR="00BF7535" w:rsidRPr="00BF7535" w:rsidRDefault="00BF7535" w:rsidP="00BF75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7E79FBC" w14:textId="77777777" w:rsidR="00BF7535" w:rsidRPr="00BF7535" w:rsidRDefault="00BF7535" w:rsidP="00BF753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F7535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(Jueves) GRANADA-TOLEDO-MADRID (446 kms)</w:t>
      </w:r>
    </w:p>
    <w:p w14:paraId="6BE7E0D0" w14:textId="77777777" w:rsidR="00BF7535" w:rsidRPr="00BF7535" w:rsidRDefault="00BF7535" w:rsidP="00BF75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F7535">
        <w:rPr>
          <w:rFonts w:ascii="Avenir Next Demi Bold" w:hAnsi="Avenir Next Demi Bold" w:cs="Avenir Next Demi Bold"/>
          <w:b/>
          <w:bCs/>
          <w:color w:val="000000"/>
          <w:spacing w:val="-6"/>
          <w:w w:val="90"/>
          <w:sz w:val="17"/>
          <w:szCs w:val="17"/>
          <w:lang w:val="es-ES_tradnl"/>
        </w:rPr>
        <w:t>Desayuno</w:t>
      </w:r>
      <w:r w:rsidRPr="00BF7535">
        <w:rPr>
          <w:rFonts w:ascii="Avenir Next" w:hAnsi="Avenir Next" w:cs="Avenir Next"/>
          <w:color w:val="000000"/>
          <w:spacing w:val="-6"/>
          <w:w w:val="90"/>
          <w:sz w:val="17"/>
          <w:szCs w:val="17"/>
          <w:lang w:val="es-ES_tradnl"/>
        </w:rPr>
        <w:t xml:space="preserve"> y salida hacia la Imperial ciudad de Toledo, cuna de civilizaciones. </w:t>
      </w:r>
      <w:r w:rsidRPr="00BF7535">
        <w:rPr>
          <w:rFonts w:ascii="Avenir Next Demi Bold" w:hAnsi="Avenir Next Demi Bold" w:cs="Avenir Next Demi Bold"/>
          <w:b/>
          <w:bCs/>
          <w:color w:val="000000"/>
          <w:spacing w:val="-6"/>
          <w:w w:val="90"/>
          <w:sz w:val="17"/>
          <w:szCs w:val="17"/>
          <w:lang w:val="es-ES_tradnl"/>
        </w:rPr>
        <w:t>Almuerzo.</w:t>
      </w:r>
      <w:r w:rsidRPr="00BF7535">
        <w:rPr>
          <w:rFonts w:ascii="Avenir Next" w:hAnsi="Avenir Next" w:cs="Avenir Next"/>
          <w:color w:val="000000"/>
          <w:spacing w:val="-6"/>
          <w:w w:val="90"/>
          <w:sz w:val="17"/>
          <w:szCs w:val="17"/>
          <w:lang w:val="es-ES_tradnl"/>
        </w:rPr>
        <w:t xml:space="preserve"> Visita panorámica desde el Mirador del Valle y paseo a pie por el casco antiguo. Posteriormente continuación hacia Madrid. </w:t>
      </w:r>
      <w:r w:rsidRPr="00BF7535">
        <w:rPr>
          <w:rFonts w:ascii="Avenir Next Demi Bold" w:hAnsi="Avenir Next Demi Bold" w:cs="Avenir Next Demi Bold"/>
          <w:b/>
          <w:bCs/>
          <w:color w:val="000000"/>
          <w:spacing w:val="-6"/>
          <w:w w:val="90"/>
          <w:sz w:val="17"/>
          <w:szCs w:val="17"/>
          <w:lang w:val="es-ES_tradnl"/>
        </w:rPr>
        <w:t>Alojamiento.</w:t>
      </w:r>
    </w:p>
    <w:p w14:paraId="39A86C85" w14:textId="77777777" w:rsidR="00BF7535" w:rsidRPr="00BF7535" w:rsidRDefault="00BF7535" w:rsidP="00BF75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D5805F5" w14:textId="77777777" w:rsidR="00BF7535" w:rsidRPr="00BF7535" w:rsidRDefault="00BF7535" w:rsidP="00BF753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F7535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(Viernes) MADRID</w:t>
      </w:r>
    </w:p>
    <w:p w14:paraId="04E9411A" w14:textId="77777777" w:rsidR="00BF7535" w:rsidRPr="00BF7535" w:rsidRDefault="00BF7535" w:rsidP="00BF75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spacing w:val="-2"/>
          <w:w w:val="90"/>
          <w:sz w:val="17"/>
          <w:szCs w:val="17"/>
          <w:lang w:val="es-ES_tradnl"/>
        </w:rPr>
      </w:pPr>
      <w:r w:rsidRPr="00BF7535">
        <w:rPr>
          <w:rFonts w:ascii="Avenir Next Demi Bold" w:hAnsi="Avenir Next Demi Bold" w:cs="Avenir Next Demi Bold"/>
          <w:b/>
          <w:bCs/>
          <w:color w:val="000000"/>
          <w:spacing w:val="-2"/>
          <w:w w:val="90"/>
          <w:sz w:val="17"/>
          <w:szCs w:val="17"/>
          <w:lang w:val="es-ES_tradnl"/>
        </w:rPr>
        <w:t xml:space="preserve">Alojamiento y desayuno. </w:t>
      </w:r>
      <w:r w:rsidRPr="00BF7535">
        <w:rPr>
          <w:rFonts w:ascii="Avenir Next" w:hAnsi="Avenir Next" w:cs="Avenir Next"/>
          <w:color w:val="000000"/>
          <w:spacing w:val="-2"/>
          <w:w w:val="90"/>
          <w:sz w:val="17"/>
          <w:szCs w:val="17"/>
          <w:lang w:val="es-ES_tradnl"/>
        </w:rPr>
        <w:t>Por la mañana, visita panorámica de la ciudad con amplio recorrido a través de sus más importantes avenidas, plazas y edificios. Resto del día libre para compras o actividades personales.</w:t>
      </w:r>
    </w:p>
    <w:p w14:paraId="037345A9" w14:textId="77777777" w:rsidR="00BF7535" w:rsidRPr="00BF7535" w:rsidRDefault="00BF7535" w:rsidP="00BF75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844153F" w14:textId="77777777" w:rsidR="00BF7535" w:rsidRPr="00BF7535" w:rsidRDefault="00BF7535" w:rsidP="00BF753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F7535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(Sábado) MADRID-CÁCERES-SEVILLA (560 kms)</w:t>
      </w:r>
    </w:p>
    <w:p w14:paraId="66EFFC35" w14:textId="77777777" w:rsidR="00BF7535" w:rsidRPr="00BF7535" w:rsidRDefault="00BF7535" w:rsidP="00BF75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BF7535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BF75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Extremadura para llegar a Cáceres con tiempo libre para conocer el casco antiguo y su barrio medieval, considerado Patrimonio de la Humanidad. Almuerzo libre. Posteriormente salida por la Autovía de la Plata hacia Andalucía para llegar a Sevilla. </w:t>
      </w:r>
      <w:r w:rsidRPr="00BF7535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1FAB73DE" w14:textId="77777777" w:rsidR="00BF7535" w:rsidRPr="00BF7535" w:rsidRDefault="00BF7535" w:rsidP="00BF75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F88D3BC" w14:textId="77777777" w:rsidR="00BF7535" w:rsidRPr="00BF7535" w:rsidRDefault="00BF7535" w:rsidP="00BF753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F7535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(Domingo) SEVILLA</w:t>
      </w:r>
    </w:p>
    <w:p w14:paraId="0F2F7CBC" w14:textId="77777777" w:rsidR="00BF7535" w:rsidRPr="00BF7535" w:rsidRDefault="00BF7535" w:rsidP="00BF75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F7535">
        <w:rPr>
          <w:rFonts w:ascii="Avenir Next Demi Bold" w:hAnsi="Avenir Next Demi Bold" w:cs="Avenir Next Demi Bold"/>
          <w:b/>
          <w:bCs/>
          <w:color w:val="000000"/>
          <w:spacing w:val="-3"/>
          <w:w w:val="90"/>
          <w:sz w:val="17"/>
          <w:szCs w:val="17"/>
          <w:lang w:val="es-ES_tradnl"/>
        </w:rPr>
        <w:t>Media pensión.</w:t>
      </w:r>
      <w:r w:rsidRPr="00BF7535">
        <w:rPr>
          <w:rFonts w:ascii="Avenir Next" w:hAnsi="Avenir Next" w:cs="Avenir Next"/>
          <w:color w:val="000000"/>
          <w:spacing w:val="-3"/>
          <w:w w:val="90"/>
          <w:sz w:val="17"/>
          <w:szCs w:val="17"/>
          <w:lang w:val="es-ES_tradnl"/>
        </w:rPr>
        <w:t xml:space="preserve">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rio Guadalquivir, donde podrá disfrutar de una panorámica con la Torre del Oro y la Expo 92. Visitar la plaza de toros de la Maestranza y por la noche continuar con un espectáculo de baile flamenco.</w:t>
      </w:r>
    </w:p>
    <w:p w14:paraId="2BD0FCEF" w14:textId="77777777" w:rsidR="00BF7535" w:rsidRPr="00BF7535" w:rsidRDefault="00BF7535" w:rsidP="00BF75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B841EFD" w14:textId="77777777" w:rsidR="00BF7535" w:rsidRPr="00BF7535" w:rsidRDefault="00BF7535" w:rsidP="00BF753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F7535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7º (Lunes) SEVILLA-CÓRDOBA (145 kms)</w:t>
      </w:r>
    </w:p>
    <w:p w14:paraId="66A5924B" w14:textId="77777777" w:rsidR="00BF7535" w:rsidRPr="00BF7535" w:rsidRDefault="00BF7535" w:rsidP="00BF75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BF7535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Desayuno. </w:t>
      </w:r>
      <w:r w:rsidRPr="00BF75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Salida hacia la ciudad de Córdoba. Comenzaremos nuestra visita a pie desde la Puerta de Almodovar para llegar al barrio Judío y continuar con la visita del interior de la famosa Mezquita/ Catedral. Resto del tiempo libre. </w:t>
      </w:r>
      <w:r w:rsidRPr="00BF7535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Cena y alojamiento. </w:t>
      </w:r>
    </w:p>
    <w:p w14:paraId="78EA44E6" w14:textId="77777777" w:rsidR="00BF7535" w:rsidRPr="00BF7535" w:rsidRDefault="00BF7535" w:rsidP="00BF75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E621CD9" w14:textId="77777777" w:rsidR="00BF7535" w:rsidRPr="00BF7535" w:rsidRDefault="00BF7535" w:rsidP="00BF753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F7535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8º (Martes) CÓRDOBA-RONDA-COSTA DEL SOL (322 kms)</w:t>
      </w:r>
    </w:p>
    <w:p w14:paraId="24F97CE3" w14:textId="77777777" w:rsidR="00BF7535" w:rsidRPr="00BF7535" w:rsidRDefault="00BF7535" w:rsidP="00BF75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BF7535">
        <w:rPr>
          <w:rFonts w:ascii="Avenir Next Demi Bold" w:hAnsi="Avenir Next Demi Bold" w:cs="Avenir Next Demi Bold"/>
          <w:b/>
          <w:bCs/>
          <w:color w:val="000000"/>
          <w:spacing w:val="-5"/>
          <w:w w:val="90"/>
          <w:sz w:val="17"/>
          <w:szCs w:val="17"/>
          <w:lang w:val="es-ES_tradnl"/>
        </w:rPr>
        <w:t xml:space="preserve">Desayuno. </w:t>
      </w:r>
      <w:r w:rsidRPr="00BF7535">
        <w:rPr>
          <w:rFonts w:ascii="Avenir Next" w:hAnsi="Avenir Next" w:cs="Avenir Next"/>
          <w:color w:val="000000"/>
          <w:spacing w:val="-5"/>
          <w:w w:val="90"/>
          <w:sz w:val="17"/>
          <w:szCs w:val="17"/>
          <w:lang w:val="es-ES_tradnl"/>
        </w:rPr>
        <w:t xml:space="preserve">Salida por la Ruta de los Pueblos Blancos hacia Ronda. Tiempo libre en esta bella población andaluza y continuación hacia la Costa del Sol. </w:t>
      </w:r>
      <w:r w:rsidRPr="00BF7535">
        <w:rPr>
          <w:rFonts w:ascii="Avenir Next Demi Bold" w:hAnsi="Avenir Next Demi Bold" w:cs="Avenir Next Demi Bold"/>
          <w:b/>
          <w:bCs/>
          <w:color w:val="000000"/>
          <w:spacing w:val="-5"/>
          <w:w w:val="90"/>
          <w:sz w:val="17"/>
          <w:szCs w:val="17"/>
          <w:lang w:val="es-ES_tradnl"/>
        </w:rPr>
        <w:t xml:space="preserve">Cena y alojamiento. </w:t>
      </w:r>
    </w:p>
    <w:p w14:paraId="1238D1F5" w14:textId="77777777" w:rsidR="00BF7535" w:rsidRPr="00BF7535" w:rsidRDefault="00BF7535" w:rsidP="00BF75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8DB4E0A" w14:textId="77777777" w:rsidR="00BF7535" w:rsidRPr="00BF7535" w:rsidRDefault="00BF7535" w:rsidP="00BF753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F7535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9º (Miércoles) COSTA DEL SOL </w:t>
      </w:r>
    </w:p>
    <w:p w14:paraId="004DABA8" w14:textId="77777777" w:rsidR="00BF7535" w:rsidRPr="00BF7535" w:rsidRDefault="00BF7535" w:rsidP="00BF75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BF7535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 y fin de los servicios.</w:t>
      </w:r>
    </w:p>
    <w:p w14:paraId="3EBEED3A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3D9F8F75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2D4F4503" w14:textId="77777777" w:rsidR="00BF7535" w:rsidRPr="00BF7535" w:rsidRDefault="00BF7535" w:rsidP="00BF753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BF7535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Martes  (Todo el año)</w:t>
      </w:r>
    </w:p>
    <w:p w14:paraId="55173ED5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77D25ACD" w14:textId="12B27FF8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5BF25A1D" w14:textId="77777777" w:rsidR="00BF7535" w:rsidRPr="00BF7535" w:rsidRDefault="00BF7535" w:rsidP="00BF7535">
      <w:pPr>
        <w:suppressAutoHyphens/>
        <w:autoSpaceDE w:val="0"/>
        <w:autoSpaceDN w:val="0"/>
        <w:adjustRightInd w:val="0"/>
        <w:spacing w:after="1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F75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F75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 llegada Málaga.</w:t>
      </w:r>
    </w:p>
    <w:p w14:paraId="7B77FD3F" w14:textId="77777777" w:rsidR="00BF7535" w:rsidRPr="00BF7535" w:rsidRDefault="00BF7535" w:rsidP="00BF7535">
      <w:pPr>
        <w:suppressAutoHyphens/>
        <w:autoSpaceDE w:val="0"/>
        <w:autoSpaceDN w:val="0"/>
        <w:adjustRightInd w:val="0"/>
        <w:spacing w:after="1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F75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F75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453B5D9C" w14:textId="77777777" w:rsidR="00BF7535" w:rsidRPr="00BF7535" w:rsidRDefault="00BF7535" w:rsidP="00BF7535">
      <w:pPr>
        <w:suppressAutoHyphens/>
        <w:autoSpaceDE w:val="0"/>
        <w:autoSpaceDN w:val="0"/>
        <w:adjustRightInd w:val="0"/>
        <w:spacing w:after="1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F75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F75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1183101A" w14:textId="77777777" w:rsidR="00BF7535" w:rsidRPr="00BF7535" w:rsidRDefault="00BF7535" w:rsidP="00BF7535">
      <w:pPr>
        <w:suppressAutoHyphens/>
        <w:autoSpaceDE w:val="0"/>
        <w:autoSpaceDN w:val="0"/>
        <w:adjustRightInd w:val="0"/>
        <w:spacing w:after="1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F75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F75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6C0D7488" w14:textId="77777777" w:rsidR="00BF7535" w:rsidRPr="00BF7535" w:rsidRDefault="00BF7535" w:rsidP="00BF7535">
      <w:pPr>
        <w:suppressAutoHyphens/>
        <w:autoSpaceDE w:val="0"/>
        <w:autoSpaceDN w:val="0"/>
        <w:adjustRightInd w:val="0"/>
        <w:spacing w:after="1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F75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F75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1 almuerzo y 6 cenas.</w:t>
      </w:r>
    </w:p>
    <w:p w14:paraId="5B3C835C" w14:textId="77777777" w:rsidR="00BF7535" w:rsidRPr="00BF7535" w:rsidRDefault="00BF7535" w:rsidP="00BF7535">
      <w:pPr>
        <w:suppressAutoHyphens/>
        <w:autoSpaceDE w:val="0"/>
        <w:autoSpaceDN w:val="0"/>
        <w:adjustRightInd w:val="0"/>
        <w:spacing w:after="1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F75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F75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Visita con guía local en Granada, Toledo, Madrid, Sevilla y Córdoba.  </w:t>
      </w:r>
    </w:p>
    <w:p w14:paraId="3B88474D" w14:textId="77777777" w:rsidR="00BF7535" w:rsidRPr="00BF7535" w:rsidRDefault="00BF7535" w:rsidP="00BF7535">
      <w:pPr>
        <w:suppressAutoHyphens/>
        <w:autoSpaceDE w:val="0"/>
        <w:autoSpaceDN w:val="0"/>
        <w:adjustRightInd w:val="0"/>
        <w:spacing w:after="1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F75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F753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76241782" w14:textId="77777777" w:rsidR="00EE5CAB" w:rsidRDefault="00CB7923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61A6BB74" w14:textId="77777777" w:rsidR="00BF7535" w:rsidRDefault="00BF7535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4723A44" w14:textId="77777777" w:rsidR="00BF7535" w:rsidRDefault="00BF7535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D321679" w14:textId="77777777" w:rsidR="00BF7535" w:rsidRPr="00EE5CAB" w:rsidRDefault="00BF7535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594FCA5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13"/>
        <w:gridCol w:w="340"/>
      </w:tblGrid>
      <w:tr w:rsidR="00BF7535" w:rsidRPr="00BF7535" w14:paraId="1AD82A24" w14:textId="77777777">
        <w:trPr>
          <w:trHeight w:val="60"/>
          <w:tblHeader/>
        </w:trPr>
        <w:tc>
          <w:tcPr>
            <w:tcW w:w="102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7FAD13DD" w14:textId="77777777" w:rsidR="00BF7535" w:rsidRPr="00BF7535" w:rsidRDefault="00BF7535" w:rsidP="00BF7535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F7535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1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DE001E4" w14:textId="77777777" w:rsidR="00BF7535" w:rsidRPr="00BF7535" w:rsidRDefault="00BF7535" w:rsidP="00BF7535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F7535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05B5645E" w14:textId="77777777" w:rsidR="00BF7535" w:rsidRPr="00BF7535" w:rsidRDefault="00BF7535" w:rsidP="00BF753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F7535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BF7535" w:rsidRPr="00BF7535" w14:paraId="559C5CF2" w14:textId="77777777">
        <w:trPr>
          <w:trHeight w:val="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71D55F32" w14:textId="77777777" w:rsidR="00BF7535" w:rsidRPr="00BF7535" w:rsidRDefault="00BF7535" w:rsidP="00BF753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Costa del Sol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21B2033E" w14:textId="77777777" w:rsidR="00BF7535" w:rsidRPr="00BF7535" w:rsidRDefault="00BF7535" w:rsidP="00BF753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Sol Principe (Torremolinos)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45332196" w14:textId="77777777" w:rsidR="00BF7535" w:rsidRPr="00BF7535" w:rsidRDefault="00BF7535" w:rsidP="00BF7535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BF7535" w:rsidRPr="00BF7535" w14:paraId="3A2E4E4A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6AA68781" w14:textId="77777777" w:rsidR="00BF7535" w:rsidRPr="00BF7535" w:rsidRDefault="00BF7535" w:rsidP="00BF753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Granada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11A946AB" w14:textId="77777777" w:rsidR="00BF7535" w:rsidRPr="00BF7535" w:rsidRDefault="00BF7535" w:rsidP="00BF753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Granada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2608C9B1" w14:textId="77777777" w:rsidR="00BF7535" w:rsidRPr="00BF7535" w:rsidRDefault="00BF7535" w:rsidP="00BF7535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BF7535" w:rsidRPr="00BF7535" w14:paraId="7BC5C58B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1D7E2F32" w14:textId="77777777" w:rsidR="00BF7535" w:rsidRPr="00BF7535" w:rsidRDefault="00BF7535" w:rsidP="00BF753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0CE5617E" w14:textId="77777777" w:rsidR="00BF7535" w:rsidRPr="00BF7535" w:rsidRDefault="00BF7535" w:rsidP="00BF753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Toledo/Praga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56D9C775" w14:textId="77777777" w:rsidR="00BF7535" w:rsidRPr="00BF7535" w:rsidRDefault="00BF7535" w:rsidP="00BF7535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T/P</w:t>
            </w:r>
          </w:p>
        </w:tc>
      </w:tr>
      <w:tr w:rsidR="00BF7535" w:rsidRPr="00BF7535" w14:paraId="17AE417E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6D3850DE" w14:textId="77777777" w:rsidR="00BF7535" w:rsidRPr="00BF7535" w:rsidRDefault="00BF7535" w:rsidP="00BF753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lastRenderedPageBreak/>
              <w:t>Sevilla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248339BB" w14:textId="77777777" w:rsidR="00BF7535" w:rsidRPr="00BF7535" w:rsidRDefault="00BF7535" w:rsidP="00BF753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Meliá Lebreros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594A6FC2" w14:textId="77777777" w:rsidR="00BF7535" w:rsidRPr="00BF7535" w:rsidRDefault="00BF7535" w:rsidP="00BF7535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BF7535" w:rsidRPr="00BF7535" w14:paraId="7BE7FC86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1313345A" w14:textId="77777777" w:rsidR="00BF7535" w:rsidRPr="00BF7535" w:rsidRDefault="00BF7535" w:rsidP="00BF753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Córdoba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62CC0F4D" w14:textId="77777777" w:rsidR="00BF7535" w:rsidRPr="00BF7535" w:rsidRDefault="00BF7535" w:rsidP="00BF7535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Exe Ciudad de Córdoba 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4973D610" w14:textId="77777777" w:rsidR="00BF7535" w:rsidRPr="00BF7535" w:rsidRDefault="00BF7535" w:rsidP="00BF7535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BF7535" w:rsidRPr="00BF7535" w14:paraId="5B02608B" w14:textId="77777777">
        <w:trPr>
          <w:trHeight w:val="60"/>
        </w:trPr>
        <w:tc>
          <w:tcPr>
            <w:tcW w:w="3373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7" w:type="dxa"/>
              <w:right w:w="0" w:type="dxa"/>
            </w:tcMar>
          </w:tcPr>
          <w:p w14:paraId="0DCFA348" w14:textId="77777777" w:rsidR="00BF7535" w:rsidRPr="00BF7535" w:rsidRDefault="00BF7535" w:rsidP="00BF7535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BF7535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>Notas:</w:t>
            </w:r>
            <w:r w:rsidRPr="00BF7535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 Las salidas 24/Oct-28/Nov, pernoctarán en el Hotel Exe Las Adelfas Córdoba. </w:t>
            </w:r>
          </w:p>
          <w:p w14:paraId="71B7CBB5" w14:textId="77777777" w:rsidR="00BF7535" w:rsidRPr="00BF7535" w:rsidRDefault="00BF7535" w:rsidP="00BF7535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>Las salidas 31/Oct-26/Dic, pernoctarán en el Hotel Sol Don Pablo (Torremolinos).</w:t>
            </w:r>
          </w:p>
          <w:p w14:paraId="330ED4B1" w14:textId="77777777" w:rsidR="00BF7535" w:rsidRPr="00BF7535" w:rsidRDefault="00BF7535" w:rsidP="00BF7535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</w:p>
        </w:tc>
      </w:tr>
    </w:tbl>
    <w:p w14:paraId="053E90F6" w14:textId="77777777" w:rsidR="00D000AA" w:rsidRPr="00BF7535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566"/>
        <w:gridCol w:w="227"/>
      </w:tblGrid>
      <w:tr w:rsidR="00BF7535" w:rsidRPr="00BF7535" w14:paraId="1BEA2A61" w14:textId="77777777">
        <w:trPr>
          <w:trHeight w:val="60"/>
        </w:trPr>
        <w:tc>
          <w:tcPr>
            <w:tcW w:w="2580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4C4BE663" w14:textId="77777777" w:rsidR="00BF7535" w:rsidRPr="00BF7535" w:rsidRDefault="00BF7535" w:rsidP="00BF7535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BF7535"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  <w:tc>
          <w:tcPr>
            <w:tcW w:w="793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16D24693" w14:textId="77777777" w:rsidR="00BF7535" w:rsidRPr="00BF7535" w:rsidRDefault="00BF7535" w:rsidP="00BF753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BF7535" w:rsidRPr="00BF7535" w14:paraId="4A231445" w14:textId="77777777">
        <w:trPr>
          <w:trHeight w:hRule="exact" w:val="60"/>
        </w:trPr>
        <w:tc>
          <w:tcPr>
            <w:tcW w:w="2580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1688ED4" w14:textId="77777777" w:rsidR="00BF7535" w:rsidRPr="00BF7535" w:rsidRDefault="00BF7535" w:rsidP="00BF753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6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233C0859" w14:textId="77777777" w:rsidR="00BF7535" w:rsidRPr="00BF7535" w:rsidRDefault="00BF7535" w:rsidP="00BF753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5119140D" w14:textId="77777777" w:rsidR="00BF7535" w:rsidRPr="00BF7535" w:rsidRDefault="00BF7535" w:rsidP="00BF753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BF7535" w:rsidRPr="00BF7535" w14:paraId="265E9121" w14:textId="77777777">
        <w:trPr>
          <w:trHeight w:val="60"/>
        </w:trPr>
        <w:tc>
          <w:tcPr>
            <w:tcW w:w="2580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bottom"/>
          </w:tcPr>
          <w:p w14:paraId="3ECD7F9F" w14:textId="77777777" w:rsidR="00BF7535" w:rsidRPr="00BF7535" w:rsidRDefault="00BF7535" w:rsidP="00BF7535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bottom"/>
          </w:tcPr>
          <w:p w14:paraId="6CA5C775" w14:textId="600F545F" w:rsidR="00BF7535" w:rsidRPr="00BF7535" w:rsidRDefault="00BF7535" w:rsidP="00BF753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AE77FF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</w:t>
            </w:r>
            <w:r w:rsidRPr="00BF7535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11" w:type="dxa"/>
              <w:right w:w="28" w:type="dxa"/>
            </w:tcMar>
            <w:vAlign w:val="bottom"/>
          </w:tcPr>
          <w:p w14:paraId="2EE1C565" w14:textId="77777777" w:rsidR="00BF7535" w:rsidRPr="00BF7535" w:rsidRDefault="00BF7535" w:rsidP="00BF753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BF7535" w:rsidRPr="00BF7535" w14:paraId="719FF470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14F265E0" w14:textId="77777777" w:rsidR="00BF7535" w:rsidRPr="00BF7535" w:rsidRDefault="00BF7535" w:rsidP="00BF7535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323AEF68" w14:textId="77777777" w:rsidR="00BF7535" w:rsidRPr="00BF7535" w:rsidRDefault="00BF7535" w:rsidP="00BF753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465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19FF48FE" w14:textId="77777777" w:rsidR="00BF7535" w:rsidRPr="00BF7535" w:rsidRDefault="00BF7535" w:rsidP="00BF753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BF7535" w:rsidRPr="00BF7535" w14:paraId="712C7108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2071676C" w14:textId="77777777" w:rsidR="00BF7535" w:rsidRPr="00BF7535" w:rsidRDefault="00BF7535" w:rsidP="00BF7535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BF7535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Suplemento Jul./Ago./Sep./Oct.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39996217" w14:textId="77777777" w:rsidR="00BF7535" w:rsidRPr="00BF7535" w:rsidRDefault="00BF7535" w:rsidP="00BF753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4C54ED9D" w14:textId="77777777" w:rsidR="00BF7535" w:rsidRPr="00BF7535" w:rsidRDefault="00BF7535" w:rsidP="00BF753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BF7535" w:rsidRPr="00BF7535" w14:paraId="24267DE3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0F9274E" w14:textId="77777777" w:rsidR="00BF7535" w:rsidRPr="00BF7535" w:rsidRDefault="00BF7535" w:rsidP="00BF7535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Supl. Salidas </w:t>
            </w:r>
          </w:p>
          <w:p w14:paraId="0165CEA8" w14:textId="77777777" w:rsidR="00BF7535" w:rsidRPr="00BF7535" w:rsidRDefault="00BF7535" w:rsidP="00BF7535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Abril 4, 18, 25 (S. Santa y Feria) Marzo 26 (S. Santa 2024)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39B5A50D" w14:textId="77777777" w:rsidR="00BF7535" w:rsidRPr="00BF7535" w:rsidRDefault="00BF7535" w:rsidP="00BF753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0889A909" w14:textId="77777777" w:rsidR="00BF7535" w:rsidRPr="00BF7535" w:rsidRDefault="00BF7535" w:rsidP="00BF753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F7535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BF7535" w:rsidRPr="00BF7535" w14:paraId="4CA62E5B" w14:textId="77777777">
        <w:trPr>
          <w:trHeight w:hRule="exact" w:val="60"/>
        </w:trPr>
        <w:tc>
          <w:tcPr>
            <w:tcW w:w="2580" w:type="dxa"/>
            <w:tcBorders>
              <w:top w:val="single" w:sz="6" w:space="0" w:color="4C4C4C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291B" w14:textId="77777777" w:rsidR="00BF7535" w:rsidRPr="00BF7535" w:rsidRDefault="00BF7535" w:rsidP="00BF753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6" w:type="dxa"/>
            <w:tcBorders>
              <w:top w:val="single" w:sz="6" w:space="0" w:color="4C4C4C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E11F" w14:textId="77777777" w:rsidR="00BF7535" w:rsidRPr="00BF7535" w:rsidRDefault="00BF7535" w:rsidP="00BF753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4C4C4C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5E826D41" w14:textId="77777777" w:rsidR="00BF7535" w:rsidRPr="00BF7535" w:rsidRDefault="00BF7535" w:rsidP="00BF753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BF7535" w:rsidRPr="00BF7535" w14:paraId="10EEA704" w14:textId="77777777">
        <w:trPr>
          <w:trHeight w:val="60"/>
        </w:trPr>
        <w:tc>
          <w:tcPr>
            <w:tcW w:w="3373" w:type="dxa"/>
            <w:gridSpan w:val="3"/>
            <w:tcBorders>
              <w:top w:val="single" w:sz="3" w:space="0" w:color="3F3F3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D2770" w14:textId="77777777" w:rsidR="00BF7535" w:rsidRPr="00BF7535" w:rsidRDefault="00BF7535" w:rsidP="00BF7535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BF7535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</w:tc>
      </w:tr>
    </w:tbl>
    <w:p w14:paraId="2E8A0831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p w14:paraId="0068FB13" w14:textId="77777777" w:rsidR="00BF7535" w:rsidRPr="00BF7535" w:rsidRDefault="00BF7535" w:rsidP="00BF7535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line="190" w:lineRule="atLeast"/>
        <w:jc w:val="both"/>
        <w:textAlignment w:val="center"/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</w:pPr>
      <w:r w:rsidRPr="00BF7535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 xml:space="preserve">*En el caso de que el </w:t>
      </w:r>
      <w:r w:rsidRPr="00BF7535">
        <w:rPr>
          <w:rFonts w:ascii="Avenir Next Demi Bold" w:hAnsi="Avenir Next Demi Bold" w:cs="Avenir Next Demi Bold"/>
          <w:b/>
          <w:bCs/>
          <w:color w:val="000000"/>
          <w:w w:val="75"/>
          <w:sz w:val="16"/>
          <w:szCs w:val="16"/>
          <w:lang w:val="es-ES_tradnl"/>
        </w:rPr>
        <w:t>Patronato de La Alhambra y Generalife</w:t>
      </w:r>
      <w:r w:rsidRPr="00BF7535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>, en algunas fechas, no conceda las entradas para los participantes de la Visita, en su lugar realizaremos una visita de la ciudad de Granada:  Visita al Palacio de Carlos V, Museo Arqueológico, Iglesia de Santa María de la Alhambra, Capilla Real y paseo por la ciudad con la Alcaicería y la Plaza de la Catedral.</w:t>
      </w:r>
    </w:p>
    <w:p w14:paraId="5674AF04" w14:textId="77777777" w:rsidR="00BF7535" w:rsidRPr="00CB7923" w:rsidRDefault="00BF7535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BF7535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CFAD" w14:textId="77777777" w:rsidR="00B122EB" w:rsidRDefault="00B122EB" w:rsidP="00473689">
      <w:r>
        <w:separator/>
      </w:r>
    </w:p>
  </w:endnote>
  <w:endnote w:type="continuationSeparator" w:id="0">
    <w:p w14:paraId="2EB6C5A6" w14:textId="77777777" w:rsidR="00B122EB" w:rsidRDefault="00B122EB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612B" w14:textId="77777777" w:rsidR="00B122EB" w:rsidRDefault="00B122EB" w:rsidP="00473689">
      <w:r>
        <w:separator/>
      </w:r>
    </w:p>
  </w:footnote>
  <w:footnote w:type="continuationSeparator" w:id="0">
    <w:p w14:paraId="25F696A3" w14:textId="77777777" w:rsidR="00B122EB" w:rsidRDefault="00B122EB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296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255D40"/>
    <w:rsid w:val="0034352F"/>
    <w:rsid w:val="00473689"/>
    <w:rsid w:val="004D0B2F"/>
    <w:rsid w:val="005B20B4"/>
    <w:rsid w:val="0076603C"/>
    <w:rsid w:val="007676EC"/>
    <w:rsid w:val="008C2DC0"/>
    <w:rsid w:val="009266EB"/>
    <w:rsid w:val="00AE77FF"/>
    <w:rsid w:val="00AF48FA"/>
    <w:rsid w:val="00B122EB"/>
    <w:rsid w:val="00BF7535"/>
    <w:rsid w:val="00CB7923"/>
    <w:rsid w:val="00CD5730"/>
    <w:rsid w:val="00D000AA"/>
    <w:rsid w:val="00D25899"/>
    <w:rsid w:val="00ED546F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BD4C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621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14</cp:revision>
  <dcterms:created xsi:type="dcterms:W3CDTF">2021-11-22T11:41:00Z</dcterms:created>
  <dcterms:modified xsi:type="dcterms:W3CDTF">2023-02-24T02:49:00Z</dcterms:modified>
</cp:coreProperties>
</file>